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</w:pPr>
      <w:r/>
      <w:r/>
    </w:p>
    <w:tbl>
      <w:tblPr>
        <w:tblW w:w="966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3428"/>
        <w:gridCol w:w="6236"/>
      </w:tblGrid>
      <w:tr>
        <w:tblPrEx/>
        <w:trPr>
          <w:trHeight w:val="2774"/>
        </w:trPr>
        <w:tc>
          <w:tcPr>
            <w:tcW w:w="3428" w:type="dxa"/>
            <w:textDirection w:val="lrTb"/>
            <w:noWrap w:val="false"/>
          </w:tcPr>
          <w:p>
            <w:pPr>
              <w:pStyle w:val="693"/>
              <w:jc w:val="both"/>
              <w:spacing w:before="0" w:beforeAutospacing="0" w:after="0" w:afterAutospacing="0" w:line="240" w:lineRule="atLeast"/>
              <w:widowControl w:val="off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31365" cy="2278380"/>
                      <wp:effectExtent l="0" t="0" r="0" b="0"/>
                      <wp:docPr id="1" name="Picture 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31365" cy="22783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9.95pt;height:179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621"/>
              <w:ind w:left="1" w:hanging="3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</w:r>
          </w:p>
          <w:p>
            <w:pPr>
              <w:pStyle w:val="621"/>
              <w:ind w:left="1" w:hanging="3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пресс-служба</w:t>
            </w:r>
            <w:r>
              <w:rPr>
                <w:color w:val="000000"/>
              </w:rPr>
            </w:r>
          </w:p>
          <w:p>
            <w:pPr>
              <w:pStyle w:val="621"/>
              <w:ind w:left="1" w:hanging="3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Управления Росреестра</w:t>
            </w:r>
            <w:r>
              <w:rPr>
                <w:color w:val="000000"/>
              </w:rPr>
            </w:r>
          </w:p>
          <w:p>
            <w:pPr>
              <w:pStyle w:val="621"/>
              <w:ind w:left="1" w:hanging="3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по Нижегородской области </w:t>
              <w:br/>
              <w:t xml:space="preserve">                603950 Нижний Новгород,</w:t>
              <w:br/>
              <w:t xml:space="preserve">                 ул. Малая Ямская, д. 78</w:t>
            </w:r>
            <w:r>
              <w:rPr>
                <w:color w:val="000000"/>
              </w:rPr>
            </w:r>
          </w:p>
          <w:p>
            <w:pPr>
              <w:pStyle w:val="621"/>
              <w:ind w:left="1" w:hanging="3"/>
              <w:jc w:val="center"/>
              <w:widowControl w:val="off"/>
              <w:rPr>
                <w:color w:val="000000"/>
              </w:rPr>
            </w:pPr>
            <w:r>
              <w:t xml:space="preserve">           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00" cy="152400"/>
                      <wp:effectExtent l="0" t="0" r="0" b="0"/>
                      <wp:docPr id="2" name="Изображение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Изображение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2.00pt;height:12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t xml:space="preserve">  </w:t>
            </w:r>
            <w:r>
              <w:rPr>
                <w:color w:val="000000"/>
              </w:rPr>
              <w:t xml:space="preserve">8 (831) 430-16-08</w:t>
            </w:r>
            <w:r>
              <w:rPr>
                <w:color w:val="000000"/>
              </w:rPr>
            </w:r>
          </w:p>
          <w:p>
            <w:pPr>
              <w:pStyle w:val="621"/>
              <w:widowControl w:val="off"/>
              <w:tabs>
                <w:tab w:val="left" w:pos="330" w:leader="none"/>
                <w:tab w:val="clear" w:pos="708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21"/>
              <w:widowControl w:val="off"/>
              <w:tabs>
                <w:tab w:val="left" w:pos="330" w:leader="none"/>
                <w:tab w:val="clear" w:pos="708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7075" cy="727075"/>
                      <wp:effectExtent l="0" t="0" r="0" b="0"/>
                      <wp:docPr id="3" name="Рисунок 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7075" cy="7270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57.25pt;height:57.2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0725" cy="720725"/>
                      <wp:effectExtent l="0" t="0" r="0" b="0"/>
                      <wp:docPr id="4" name="Рисунок 5" descr="о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5" descr="ок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724" cy="72072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56.75pt;height:56.75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9930" cy="709930"/>
                      <wp:effectExtent l="0" t="0" r="0" b="0"/>
                      <wp:docPr id="5" name="Рисунок 2" descr="дзе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2" descr="дзен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9930" cy="7099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55.90pt;height:55.9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8185" cy="718185"/>
                      <wp:effectExtent l="0" t="0" r="0" b="0"/>
                      <wp:docPr id="6" name="Рисунок 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4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8185" cy="7181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56.55pt;height:56.55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</w:r>
          </w:p>
          <w:p>
            <w:pPr>
              <w:pStyle w:val="621"/>
              <w:ind w:left="1" w:hanging="3"/>
              <w:jc w:val="center"/>
              <w:widowControl w:val="off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pStyle w:val="693"/>
              <w:ind w:left="-300" w:right="355" w:firstLine="0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>
              <w:t xml:space="preserve"> 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/>
          </w:p>
        </w:tc>
      </w:tr>
    </w:tbl>
    <w:p>
      <w:pPr>
        <w:pStyle w:val="621"/>
        <w:ind w:left="0" w:right="0" w:firstLine="0"/>
        <w:shd w:val="clear" w:color="ffffff" w:fill="ffffff"/>
        <w:rPr>
          <w:rFonts w:ascii="Roboto" w:hAnsi="Roboto" w:eastAsia="Roboto" w:cs="Roboto"/>
          <w:sz w:val="24"/>
          <w:szCs w:val="24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sz w:val="24"/>
          <w:szCs w:val="24"/>
        </w:rPr>
      </w:r>
    </w:p>
    <w:p>
      <w:pPr>
        <w:pStyle w:val="621"/>
        <w:jc w:val="center"/>
        <w:spacing w:line="276" w:lineRule="auto"/>
      </w:pPr>
      <w:r>
        <w:rPr>
          <w:b/>
          <w:bCs/>
          <w:sz w:val="28"/>
          <w:szCs w:val="28"/>
        </w:rPr>
        <w:t xml:space="preserve">В Нижегородском Росреестре </w:t>
      </w:r>
      <w:r>
        <w:rPr>
          <w:b/>
          <w:bCs/>
          <w:sz w:val="28"/>
          <w:szCs w:val="28"/>
        </w:rPr>
        <w:t xml:space="preserve">пройдёт «горячая линия» </w:t>
        <w:br/>
        <w:t xml:space="preserve">по новым правилам для неиспользуемых земель</w:t>
      </w:r>
      <w:r>
        <w:rPr>
          <w:b/>
          <w:bCs/>
          <w:sz w:val="28"/>
          <w:szCs w:val="28"/>
        </w:rPr>
      </w:r>
      <w:r/>
    </w:p>
    <w:p>
      <w:pPr>
        <w:pStyle w:val="621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21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декабря</w:t>
      </w:r>
      <w:r>
        <w:rPr>
          <w:b/>
          <w:bCs/>
          <w:sz w:val="28"/>
          <w:szCs w:val="28"/>
        </w:rPr>
        <w:t xml:space="preserve"> с 1</w:t>
      </w: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  <w:t xml:space="preserve">:00 до 1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:00 </w:t>
      </w:r>
      <w:r>
        <w:rPr>
          <w:sz w:val="28"/>
          <w:szCs w:val="28"/>
        </w:rPr>
        <w:t xml:space="preserve">э</w:t>
      </w:r>
      <w:r>
        <w:rPr>
          <w:sz w:val="28"/>
          <w:szCs w:val="28"/>
        </w:rPr>
        <w:t xml:space="preserve">ксперты Управления Росреестра по Нижегородской области проведут «горячую линию» о порядке применения обновленных норм относительно неиспользуемых земель в населенных пунктах, садоводствах и огороднических участках, вступивших в силу с 1 сентября 2025 года.</w:t>
      </w:r>
      <w:r>
        <w:rPr>
          <w:sz w:val="28"/>
          <w:szCs w:val="28"/>
          <w:highlight w:val="none"/>
        </w:rPr>
      </w:r>
    </w:p>
    <w:p>
      <w:pPr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21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Телефон: </w:t>
      </w:r>
      <w:r>
        <w:rPr>
          <w:b/>
          <w:bCs/>
          <w:sz w:val="28"/>
          <w:szCs w:val="28"/>
        </w:rPr>
        <w:t xml:space="preserve">8 (831) 411-85-36.</w:t>
      </w:r>
      <w:r>
        <w:rPr>
          <w:sz w:val="28"/>
          <w:szCs w:val="28"/>
          <w:highlight w:val="none"/>
        </w:rPr>
      </w:r>
    </w:p>
    <w:p>
      <w:pPr>
        <w:pStyle w:val="621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21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Эксперты ответят на вопросы:</w:t>
      </w:r>
      <w:r>
        <w:rPr>
          <w:sz w:val="28"/>
          <w:szCs w:val="28"/>
          <w:highlight w:val="none"/>
        </w:rPr>
      </w:r>
    </w:p>
    <w:p>
      <w:pPr>
        <w:pStyle w:val="621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Какие конкретные характеристики свидетельствуют о факте неиспользования земельного надела согласно установленным целевым назначением и видом разрешённого использования?</w:t>
      </w:r>
      <w:r>
        <w:rPr>
          <w:sz w:val="28"/>
          <w:szCs w:val="28"/>
          <w:highlight w:val="none"/>
        </w:rPr>
      </w:r>
    </w:p>
    <w:p>
      <w:pPr>
        <w:pStyle w:val="621"/>
        <w:numPr>
          <w:ilvl w:val="0"/>
          <w:numId w:val="0"/>
        </w:numPr>
        <w:ind w:left="720" w:firstLine="0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Как поступить собственникам, чьи участки временно остаются незадействованными вследствие уважительных обстоятельств, таких как наследство или юридические разбирательства?</w:t>
      </w:r>
      <w:r>
        <w:rPr>
          <w:sz w:val="28"/>
          <w:szCs w:val="28"/>
          <w:highlight w:val="none"/>
        </w:rPr>
      </w:r>
    </w:p>
    <w:p>
      <w:pPr>
        <w:pStyle w:val="621"/>
        <w:numPr>
          <w:ilvl w:val="0"/>
          <w:numId w:val="0"/>
        </w:numPr>
        <w:ind w:left="720" w:firstLine="0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21"/>
        <w:numPr>
          <w:ilvl w:val="0"/>
          <w:numId w:val="1"/>
        </w:numPr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Какие меры необходимы для подтверждения правильного использования участка в рамках целевого назначения?</w:t>
      </w:r>
      <w:r>
        <w:rPr>
          <w:sz w:val="28"/>
          <w:szCs w:val="28"/>
          <w:highlight w:val="none"/>
        </w:rPr>
      </w:r>
    </w:p>
    <w:p>
      <w:pPr>
        <w:pStyle w:val="62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jc w:val="both"/>
        <w:spacing w:line="276" w:lineRule="auto"/>
        <w:rPr>
          <w:bCs/>
          <w:i/>
          <w:highlight w:val="none"/>
        </w:rPr>
      </w:pPr>
      <w:r>
        <w:rPr>
          <w:i/>
          <w:iCs/>
          <w:sz w:val="28"/>
          <w:szCs w:val="28"/>
        </w:rPr>
        <w:t xml:space="preserve">«В условиях динамично развивающейся экономики и возрастающего спроса на земельные ресурсы, Управление Росреестра по Нижегородской области усиливает контроль за це</w:t>
      </w:r>
      <w:r>
        <w:rPr>
          <w:i/>
          <w:iCs/>
          <w:sz w:val="28"/>
          <w:szCs w:val="28"/>
        </w:rPr>
        <w:t xml:space="preserve">левым использованием земельных участков. Особое внимание уделяется землям, расположенным в границах населенных пунктов, садоводческих и огороднических товариществ, которые зачастую остаются неиспользуемыми или используются не по назначению», - подчеркнула </w:t>
      </w:r>
      <w:r>
        <w:rPr>
          <w:i/>
          <w:iCs/>
          <w:sz w:val="28"/>
          <w:szCs w:val="28"/>
        </w:rPr>
        <w:t xml:space="preserve">руководитель Управления Росреестра по Нижегородской области </w:t>
      </w:r>
      <w:r>
        <w:rPr>
          <w:b/>
          <w:bCs/>
          <w:i/>
          <w:iCs/>
          <w:sz w:val="28"/>
          <w:szCs w:val="28"/>
        </w:rPr>
        <w:t xml:space="preserve">Оксана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Штейн</w:t>
      </w:r>
      <w:r>
        <w:rPr>
          <w:i/>
          <w:iCs/>
          <w:sz w:val="28"/>
          <w:szCs w:val="28"/>
        </w:rPr>
        <w:t xml:space="preserve">.</w:t>
      </w:r>
      <w:r>
        <w:rPr>
          <w:bCs/>
          <w:i/>
          <w:highlight w:val="none"/>
        </w:rPr>
      </w:r>
    </w:p>
    <w:p>
      <w:pPr>
        <w:pStyle w:val="621"/>
        <w:jc w:val="both"/>
        <w:spacing w:line="276" w:lineRule="auto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</w:p>
    <w:p>
      <w:pPr>
        <w:pStyle w:val="62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Отметим, что получить бесплатную </w:t>
      </w:r>
      <w:r>
        <w:rPr>
          <w:sz w:val="28"/>
          <w:szCs w:val="28"/>
        </w:rPr>
        <w:t xml:space="preserve">консультацию по вопросам, связанным с оформлением недвижимости и не только, с гарантией государственного учреждения можно не только в эту дату, но и в любой другой день по телефону call-центра Управления Росреестра Нижегородской области: 8 (831) 411-81-71.</w:t>
      </w:r>
      <w:r>
        <w:rPr>
          <w:sz w:val="28"/>
          <w:szCs w:val="28"/>
        </w:rPr>
      </w:r>
    </w:p>
    <w:p>
      <w:pPr>
        <w:pStyle w:val="62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Специалисты ведомства всегда готовы оказать правовую помощь нижегородцам.</w:t>
      </w:r>
      <w:r>
        <w:rPr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284" w:right="991" w:bottom="284" w:left="993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OpenSymbol">
    <w:panose1 w:val="05010000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right"/>
      <w:pPr>
        <w:ind w:left="720" w:hanging="174"/>
        <w:tabs>
          <w:tab w:val="num" w:pos="720" w:leader="none"/>
        </w:tabs>
      </w:pPr>
      <w:rPr>
        <w:rFonts w:hint="default" w:ascii="Symbol" w:hAnsi="Symbol" w:eastAsia="Symbol" w:cs="Symbol"/>
      </w:rPr>
    </w:lvl>
    <w:lvl w:ilvl="1">
      <w:start w:val="1"/>
      <w:numFmt w:val="upp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lowerLetter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lowerRoman"/>
      <w:isLgl w:val="false"/>
      <w:suff w:val="tab"/>
      <w:lvlText w:val="%5."/>
      <w:lvlJc w:val="right"/>
      <w:pPr>
        <w:ind w:left="2160" w:hanging="174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21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22">
    <w:name w:val="Heading 1"/>
    <w:basedOn w:val="621"/>
    <w:uiPriority w:val="99"/>
    <w:qFormat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623">
    <w:name w:val="Heading 2"/>
    <w:basedOn w:val="621"/>
    <w:semiHidden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24">
    <w:name w:val="Heading 3"/>
    <w:basedOn w:val="621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25">
    <w:name w:val="Heading 4"/>
    <w:basedOn w:val="6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6">
    <w:name w:val="Heading 5"/>
    <w:basedOn w:val="6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7">
    <w:name w:val="Heading 6"/>
    <w:basedOn w:val="6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8">
    <w:name w:val="Heading 7"/>
    <w:basedOn w:val="6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9">
    <w:name w:val="Heading 8"/>
    <w:basedOn w:val="6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30">
    <w:name w:val="Heading 9"/>
    <w:basedOn w:val="6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1">
    <w:name w:val="Heading 1 Char"/>
    <w:basedOn w:val="653"/>
    <w:uiPriority w:val="9"/>
    <w:qFormat/>
    <w:rPr>
      <w:rFonts w:ascii="Arial" w:hAnsi="Arial" w:eastAsia="Arial" w:cs="Arial"/>
      <w:sz w:val="40"/>
      <w:szCs w:val="40"/>
    </w:rPr>
  </w:style>
  <w:style w:type="character" w:styleId="632">
    <w:name w:val="Heading 2 Char"/>
    <w:basedOn w:val="653"/>
    <w:uiPriority w:val="9"/>
    <w:qFormat/>
    <w:rPr>
      <w:rFonts w:ascii="Arial" w:hAnsi="Arial" w:eastAsia="Arial" w:cs="Arial"/>
      <w:sz w:val="34"/>
    </w:rPr>
  </w:style>
  <w:style w:type="character" w:styleId="633">
    <w:name w:val="Heading 3 Char"/>
    <w:basedOn w:val="653"/>
    <w:uiPriority w:val="9"/>
    <w:qFormat/>
    <w:rPr>
      <w:rFonts w:ascii="Arial" w:hAnsi="Arial" w:eastAsia="Arial" w:cs="Arial"/>
      <w:sz w:val="30"/>
      <w:szCs w:val="30"/>
    </w:rPr>
  </w:style>
  <w:style w:type="character" w:styleId="634">
    <w:name w:val="Heading 4 Char"/>
    <w:basedOn w:val="65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5">
    <w:name w:val="Heading 5 Char"/>
    <w:basedOn w:val="65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6">
    <w:name w:val="Heading 6 Char"/>
    <w:basedOn w:val="65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7">
    <w:name w:val="Heading 7 Char"/>
    <w:basedOn w:val="65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8">
    <w:name w:val="Heading 8 Char"/>
    <w:basedOn w:val="65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9">
    <w:name w:val="Heading 9 Char"/>
    <w:basedOn w:val="65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0">
    <w:name w:val="Title Char"/>
    <w:basedOn w:val="653"/>
    <w:uiPriority w:val="10"/>
    <w:qFormat/>
    <w:rPr>
      <w:sz w:val="48"/>
      <w:szCs w:val="48"/>
    </w:rPr>
  </w:style>
  <w:style w:type="character" w:styleId="641">
    <w:name w:val="Subtitle Char"/>
    <w:basedOn w:val="653"/>
    <w:uiPriority w:val="11"/>
    <w:qFormat/>
    <w:rPr>
      <w:sz w:val="24"/>
      <w:szCs w:val="24"/>
    </w:rPr>
  </w:style>
  <w:style w:type="character" w:styleId="642">
    <w:name w:val="Quote Char"/>
    <w:uiPriority w:val="29"/>
    <w:qFormat/>
    <w:rPr>
      <w:i/>
    </w:rPr>
  </w:style>
  <w:style w:type="character" w:styleId="643">
    <w:name w:val="Intense Quote Char"/>
    <w:uiPriority w:val="30"/>
    <w:qFormat/>
    <w:rPr>
      <w:i/>
    </w:rPr>
  </w:style>
  <w:style w:type="character" w:styleId="644">
    <w:name w:val="Header Char"/>
    <w:basedOn w:val="653"/>
    <w:uiPriority w:val="99"/>
    <w:qFormat/>
  </w:style>
  <w:style w:type="character" w:styleId="645">
    <w:name w:val="Footer Char"/>
    <w:basedOn w:val="653"/>
    <w:uiPriority w:val="99"/>
    <w:qFormat/>
  </w:style>
  <w:style w:type="character" w:styleId="646">
    <w:name w:val="Caption Char"/>
    <w:uiPriority w:val="99"/>
    <w:qFormat/>
  </w:style>
  <w:style w:type="character" w:styleId="647">
    <w:name w:val="Footnote Text Char"/>
    <w:uiPriority w:val="99"/>
    <w:qFormat/>
    <w:rPr>
      <w:sz w:val="18"/>
    </w:rPr>
  </w:style>
  <w:style w:type="character" w:styleId="648">
    <w:name w:val="Символ сноски"/>
    <w:uiPriority w:val="99"/>
    <w:unhideWhenUsed/>
    <w:qFormat/>
    <w:rPr>
      <w:vertAlign w:val="superscript"/>
    </w:rPr>
  </w:style>
  <w:style w:type="character" w:styleId="649">
    <w:name w:val="footnote reference"/>
    <w:rPr>
      <w:vertAlign w:val="superscript"/>
    </w:rPr>
  </w:style>
  <w:style w:type="character" w:styleId="650">
    <w:name w:val="Endnote Text Char"/>
    <w:uiPriority w:val="99"/>
    <w:qFormat/>
    <w:rPr>
      <w:sz w:val="20"/>
    </w:rPr>
  </w:style>
  <w:style w:type="character" w:styleId="65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2">
    <w:name w:val="endnote reference"/>
    <w:rPr>
      <w:vertAlign w:val="superscript"/>
    </w:rPr>
  </w:style>
  <w:style w:type="character" w:styleId="653" w:default="1">
    <w:name w:val="Default Paragraph Font"/>
    <w:uiPriority w:val="1"/>
    <w:semiHidden/>
    <w:unhideWhenUsed/>
    <w:qFormat/>
  </w:style>
  <w:style w:type="character" w:styleId="654" w:customStyle="1">
    <w:name w:val="Заголовок 1 Знак"/>
    <w:uiPriority w:val="99"/>
    <w:qFormat/>
    <w:rPr>
      <w:rFonts w:cs="Times New Roman"/>
      <w:b/>
      <w:bCs/>
      <w:sz w:val="48"/>
      <w:szCs w:val="48"/>
    </w:rPr>
  </w:style>
  <w:style w:type="character" w:styleId="655">
    <w:name w:val="Hyperlink"/>
    <w:uiPriority w:val="99"/>
    <w:rPr>
      <w:rFonts w:cs="Times New Roman"/>
      <w:color w:val="0000ff"/>
      <w:u w:val="single"/>
    </w:rPr>
  </w:style>
  <w:style w:type="character" w:styleId="656" w:customStyle="1">
    <w:name w:val="apple-tab-span"/>
    <w:uiPriority w:val="99"/>
    <w:qFormat/>
    <w:rPr>
      <w:rFonts w:cs="Times New Roman"/>
    </w:rPr>
  </w:style>
  <w:style w:type="character" w:styleId="657" w:customStyle="1">
    <w:name w:val="Текст выноски Знак"/>
    <w:uiPriority w:val="99"/>
    <w:qFormat/>
    <w:rPr>
      <w:rFonts w:ascii="Segoe UI" w:hAnsi="Segoe UI"/>
      <w:sz w:val="18"/>
    </w:rPr>
  </w:style>
  <w:style w:type="character" w:styleId="658">
    <w:name w:val="FollowedHyperlink"/>
    <w:basedOn w:val="653"/>
    <w:uiPriority w:val="99"/>
    <w:semiHidden/>
    <w:unhideWhenUsed/>
    <w:rPr>
      <w:color w:val="800080" w:themeColor="followedHyperlink"/>
      <w:u w:val="single"/>
    </w:rPr>
  </w:style>
  <w:style w:type="character" w:styleId="659" w:customStyle="1">
    <w:name w:val="Заголовок 2 Знак"/>
    <w:basedOn w:val="653"/>
    <w:semiHidden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660" w:customStyle="1">
    <w:name w:val="css-96zuhp-word-diff"/>
    <w:basedOn w:val="653"/>
    <w:qFormat/>
  </w:style>
  <w:style w:type="character" w:styleId="661" w:customStyle="1">
    <w:name w:val="Заголовок 3 Знак"/>
    <w:basedOn w:val="653"/>
    <w:semiHidden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662">
    <w:name w:val="Символ нумерации"/>
    <w:qFormat/>
  </w:style>
  <w:style w:type="character" w:styleId="663">
    <w:name w:val="Маркеры"/>
    <w:qFormat/>
    <w:rPr>
      <w:rFonts w:ascii="OpenSymbol" w:hAnsi="OpenSymbol" w:eastAsia="OpenSymbol" w:cs="OpenSymbol"/>
    </w:rPr>
  </w:style>
  <w:style w:type="paragraph" w:styleId="664">
    <w:name w:val="Заголовок"/>
    <w:basedOn w:val="621"/>
    <w:next w:val="66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65">
    <w:name w:val="Body Text"/>
    <w:basedOn w:val="621"/>
    <w:pPr>
      <w:spacing w:before="0" w:after="140" w:line="276" w:lineRule="auto"/>
    </w:pPr>
  </w:style>
  <w:style w:type="paragraph" w:styleId="666">
    <w:name w:val="List"/>
    <w:basedOn w:val="665"/>
    <w:rPr>
      <w:rFonts w:ascii="PT Astra Serif" w:hAnsi="PT Astra Serif" w:cs="Noto Sans Devanagari"/>
    </w:rPr>
  </w:style>
  <w:style w:type="paragraph" w:styleId="667">
    <w:name w:val="Caption"/>
    <w:basedOn w:val="62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68">
    <w:name w:val="Указатель"/>
    <w:basedOn w:val="621"/>
    <w:qFormat/>
    <w:pPr>
      <w:suppressLineNumbers/>
    </w:pPr>
    <w:rPr>
      <w:rFonts w:ascii="PT Astra Serif" w:hAnsi="PT Astra Serif" w:cs="Noto Sans Devanagari"/>
    </w:rPr>
  </w:style>
  <w:style w:type="paragraph" w:styleId="669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ru-RU" w:bidi="ar-SA"/>
    </w:rPr>
  </w:style>
  <w:style w:type="paragraph" w:styleId="670">
    <w:name w:val="Title"/>
    <w:basedOn w:val="62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1">
    <w:name w:val="Subtitle"/>
    <w:basedOn w:val="621"/>
    <w:uiPriority w:val="11"/>
    <w:qFormat/>
    <w:pPr>
      <w:spacing w:before="200" w:after="200"/>
    </w:pPr>
    <w:rPr>
      <w:sz w:val="24"/>
      <w:szCs w:val="24"/>
    </w:rPr>
  </w:style>
  <w:style w:type="paragraph" w:styleId="672">
    <w:name w:val="Quote"/>
    <w:basedOn w:val="621"/>
    <w:uiPriority w:val="29"/>
    <w:qFormat/>
    <w:pPr>
      <w:ind w:left="720" w:right="720"/>
    </w:pPr>
    <w:rPr>
      <w:i/>
    </w:rPr>
  </w:style>
  <w:style w:type="paragraph" w:styleId="673">
    <w:name w:val="Intense Quote"/>
    <w:basedOn w:val="621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74">
    <w:name w:val="Header and Footer"/>
    <w:basedOn w:val="621"/>
    <w:qFormat/>
  </w:style>
  <w:style w:type="paragraph" w:styleId="675">
    <w:name w:val="Head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6">
    <w:name w:val="Foot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7">
    <w:name w:val="footnote text"/>
    <w:basedOn w:val="62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78">
    <w:name w:val="endnote text"/>
    <w:basedOn w:val="62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9">
    <w:name w:val="toc 1"/>
    <w:basedOn w:val="621"/>
    <w:uiPriority w:val="39"/>
    <w:unhideWhenUsed/>
    <w:pPr>
      <w:ind w:left="0" w:right="0" w:firstLine="0"/>
      <w:spacing w:before="0" w:after="57"/>
    </w:pPr>
  </w:style>
  <w:style w:type="paragraph" w:styleId="680">
    <w:name w:val="toc 2"/>
    <w:basedOn w:val="621"/>
    <w:uiPriority w:val="39"/>
    <w:unhideWhenUsed/>
    <w:pPr>
      <w:ind w:left="283" w:right="0" w:firstLine="0"/>
      <w:spacing w:before="0" w:after="57"/>
    </w:pPr>
  </w:style>
  <w:style w:type="paragraph" w:styleId="681">
    <w:name w:val="toc 3"/>
    <w:basedOn w:val="621"/>
    <w:uiPriority w:val="39"/>
    <w:unhideWhenUsed/>
    <w:pPr>
      <w:ind w:left="567" w:right="0" w:firstLine="0"/>
      <w:spacing w:before="0" w:after="57"/>
    </w:pPr>
  </w:style>
  <w:style w:type="paragraph" w:styleId="682">
    <w:name w:val="toc 4"/>
    <w:basedOn w:val="621"/>
    <w:uiPriority w:val="39"/>
    <w:unhideWhenUsed/>
    <w:pPr>
      <w:ind w:left="850" w:right="0" w:firstLine="0"/>
      <w:spacing w:before="0" w:after="57"/>
    </w:pPr>
  </w:style>
  <w:style w:type="paragraph" w:styleId="683">
    <w:name w:val="toc 5"/>
    <w:basedOn w:val="621"/>
    <w:uiPriority w:val="39"/>
    <w:unhideWhenUsed/>
    <w:pPr>
      <w:ind w:left="1134" w:right="0" w:firstLine="0"/>
      <w:spacing w:before="0" w:after="57"/>
    </w:pPr>
  </w:style>
  <w:style w:type="paragraph" w:styleId="684">
    <w:name w:val="toc 6"/>
    <w:basedOn w:val="621"/>
    <w:uiPriority w:val="39"/>
    <w:unhideWhenUsed/>
    <w:pPr>
      <w:ind w:left="1417" w:right="0" w:firstLine="0"/>
      <w:spacing w:before="0" w:after="57"/>
    </w:pPr>
  </w:style>
  <w:style w:type="paragraph" w:styleId="685">
    <w:name w:val="toc 7"/>
    <w:basedOn w:val="621"/>
    <w:uiPriority w:val="39"/>
    <w:unhideWhenUsed/>
    <w:pPr>
      <w:ind w:left="1701" w:right="0" w:firstLine="0"/>
      <w:spacing w:before="0" w:after="57"/>
    </w:pPr>
  </w:style>
  <w:style w:type="paragraph" w:styleId="686">
    <w:name w:val="toc 8"/>
    <w:basedOn w:val="621"/>
    <w:uiPriority w:val="39"/>
    <w:unhideWhenUsed/>
    <w:pPr>
      <w:ind w:left="1984" w:right="0" w:firstLine="0"/>
      <w:spacing w:before="0" w:after="57"/>
    </w:pPr>
  </w:style>
  <w:style w:type="paragraph" w:styleId="687">
    <w:name w:val="toc 9"/>
    <w:basedOn w:val="621"/>
    <w:uiPriority w:val="39"/>
    <w:unhideWhenUsed/>
    <w:pPr>
      <w:ind w:left="2268" w:right="0" w:firstLine="0"/>
      <w:spacing w:before="0" w:after="57"/>
    </w:pPr>
  </w:style>
  <w:style w:type="paragraph" w:styleId="688">
    <w:name w:val="index heading"/>
    <w:basedOn w:val="664"/>
  </w:style>
  <w:style w:type="paragraph" w:styleId="689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ru-RU" w:bidi="ar-SA"/>
    </w:rPr>
  </w:style>
  <w:style w:type="paragraph" w:styleId="690">
    <w:name w:val="table of figures"/>
    <w:basedOn w:val="621"/>
    <w:uiPriority w:val="99"/>
    <w:unhideWhenUsed/>
    <w:pPr>
      <w:spacing w:before="0" w:after="0" w:afterAutospacing="0"/>
    </w:pPr>
  </w:style>
  <w:style w:type="paragraph" w:styleId="691">
    <w:name w:val="Заголовок (user)"/>
    <w:basedOn w:val="62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92">
    <w:name w:val="Указатель (user)"/>
    <w:basedOn w:val="621"/>
    <w:qFormat/>
    <w:pPr>
      <w:suppressLineNumbers/>
    </w:pPr>
    <w:rPr>
      <w:rFonts w:ascii="PT Astra Serif" w:hAnsi="PT Astra Serif" w:cs="Noto Sans Devanagari"/>
    </w:rPr>
  </w:style>
  <w:style w:type="paragraph" w:styleId="693">
    <w:name w:val="Normal (Web)"/>
    <w:basedOn w:val="621"/>
    <w:uiPriority w:val="99"/>
    <w:qFormat/>
    <w:pPr>
      <w:spacing w:beforeAutospacing="1" w:afterAutospacing="1"/>
    </w:pPr>
  </w:style>
  <w:style w:type="paragraph" w:styleId="694">
    <w:name w:val="Balloon Text"/>
    <w:basedOn w:val="621"/>
    <w:uiPriority w:val="99"/>
    <w:qFormat/>
    <w:rPr>
      <w:rFonts w:ascii="Segoe UI" w:hAnsi="Segoe UI"/>
      <w:sz w:val="18"/>
      <w:szCs w:val="18"/>
    </w:rPr>
  </w:style>
  <w:style w:type="paragraph" w:styleId="695">
    <w:name w:val="List Paragraph"/>
    <w:basedOn w:val="621"/>
    <w:uiPriority w:val="99"/>
    <w:qFormat/>
    <w:pPr>
      <w:contextualSpacing/>
      <w:ind w:left="720" w:firstLine="0"/>
      <w:spacing w:before="0" w:after="0"/>
    </w:pPr>
  </w:style>
  <w:style w:type="numbering" w:styleId="696" w:default="1">
    <w:name w:val="Без списка"/>
    <w:uiPriority w:val="99"/>
    <w:semiHidden/>
    <w:unhideWhenUsed/>
    <w:qFormat/>
  </w:style>
  <w:style w:type="table" w:styleId="9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DSR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СМИ</dc:creator>
  <dc:description/>
  <dc:language>ru-RU</dc:language>
  <cp:revision>31</cp:revision>
  <dcterms:created xsi:type="dcterms:W3CDTF">2025-02-06T10:30:00Z</dcterms:created>
  <dcterms:modified xsi:type="dcterms:W3CDTF">2025-12-09T08:12:38Z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